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69"/>
        <w:gridCol w:w="3526"/>
        <w:gridCol w:w="3908"/>
        <w:gridCol w:w="3445"/>
      </w:tblGrid>
      <w:tr w:rsidR="004060AF" w14:paraId="3DF0F1DB" w14:textId="77777777" w:rsidTr="004060AF">
        <w:tc>
          <w:tcPr>
            <w:tcW w:w="3069" w:type="dxa"/>
            <w:shd w:val="clear" w:color="auto" w:fill="A8D08D" w:themeFill="accent6" w:themeFillTint="99"/>
          </w:tcPr>
          <w:p w14:paraId="08F2A9F4" w14:textId="0B6ADDB9" w:rsidR="004060AF" w:rsidRPr="0007679B" w:rsidRDefault="004060AF">
            <w:pPr>
              <w:rPr>
                <w:b/>
              </w:rPr>
            </w:pPr>
            <w:r>
              <w:rPr>
                <w:b/>
              </w:rPr>
              <w:t>Photos</w:t>
            </w:r>
          </w:p>
        </w:tc>
        <w:tc>
          <w:tcPr>
            <w:tcW w:w="3526" w:type="dxa"/>
            <w:shd w:val="clear" w:color="auto" w:fill="A8D08D" w:themeFill="accent6" w:themeFillTint="99"/>
          </w:tcPr>
          <w:p w14:paraId="05C62CA2" w14:textId="235B8464" w:rsidR="004060AF" w:rsidRPr="0007679B" w:rsidRDefault="004060AF">
            <w:pPr>
              <w:rPr>
                <w:b/>
              </w:rPr>
            </w:pPr>
            <w:r w:rsidRPr="0007679B">
              <w:rPr>
                <w:b/>
              </w:rPr>
              <w:t xml:space="preserve">Staff </w:t>
            </w:r>
          </w:p>
        </w:tc>
        <w:tc>
          <w:tcPr>
            <w:tcW w:w="3908" w:type="dxa"/>
            <w:shd w:val="clear" w:color="auto" w:fill="A8D08D" w:themeFill="accent6" w:themeFillTint="99"/>
          </w:tcPr>
          <w:p w14:paraId="1EAAF2E2" w14:textId="77777777" w:rsidR="004060AF" w:rsidRPr="0007679B" w:rsidRDefault="004060AF">
            <w:pPr>
              <w:rPr>
                <w:b/>
              </w:rPr>
            </w:pPr>
            <w:r w:rsidRPr="0007679B">
              <w:rPr>
                <w:b/>
              </w:rPr>
              <w:t xml:space="preserve">Profile </w:t>
            </w:r>
          </w:p>
        </w:tc>
        <w:tc>
          <w:tcPr>
            <w:tcW w:w="3445" w:type="dxa"/>
            <w:shd w:val="clear" w:color="auto" w:fill="A8D08D" w:themeFill="accent6" w:themeFillTint="99"/>
          </w:tcPr>
          <w:p w14:paraId="1F348C24" w14:textId="77777777" w:rsidR="004060AF" w:rsidRPr="0007679B" w:rsidRDefault="004060AF">
            <w:pPr>
              <w:rPr>
                <w:b/>
              </w:rPr>
            </w:pPr>
            <w:r>
              <w:rPr>
                <w:b/>
              </w:rPr>
              <w:t xml:space="preserve">Speaker </w:t>
            </w:r>
            <w:r w:rsidRPr="0007679B">
              <w:rPr>
                <w:b/>
              </w:rPr>
              <w:t xml:space="preserve">Topic </w:t>
            </w:r>
          </w:p>
        </w:tc>
      </w:tr>
      <w:tr w:rsidR="004060AF" w14:paraId="169C824E" w14:textId="77777777" w:rsidTr="004060AF">
        <w:tc>
          <w:tcPr>
            <w:tcW w:w="3069" w:type="dxa"/>
            <w:shd w:val="clear" w:color="auto" w:fill="ED7D31" w:themeFill="accent2"/>
          </w:tcPr>
          <w:p w14:paraId="69C7A080" w14:textId="77777777" w:rsidR="004060AF" w:rsidRPr="00657505" w:rsidRDefault="004060AF" w:rsidP="0007679B">
            <w:pPr>
              <w:rPr>
                <w:b/>
              </w:rPr>
            </w:pPr>
          </w:p>
        </w:tc>
        <w:tc>
          <w:tcPr>
            <w:tcW w:w="10879" w:type="dxa"/>
            <w:gridSpan w:val="3"/>
            <w:shd w:val="clear" w:color="auto" w:fill="ED7D31" w:themeFill="accent2"/>
          </w:tcPr>
          <w:p w14:paraId="5F7B41E9" w14:textId="64D21049" w:rsidR="004060AF" w:rsidRPr="00657505" w:rsidRDefault="004060AF" w:rsidP="0007679B">
            <w:pPr>
              <w:rPr>
                <w:b/>
              </w:rPr>
            </w:pPr>
            <w:r w:rsidRPr="00657505">
              <w:rPr>
                <w:b/>
              </w:rPr>
              <w:t>Faculty of Business and Economics</w:t>
            </w:r>
          </w:p>
        </w:tc>
      </w:tr>
      <w:tr w:rsidR="004060AF" w14:paraId="7DAB4CE5" w14:textId="77777777" w:rsidTr="004060AF">
        <w:tc>
          <w:tcPr>
            <w:tcW w:w="3069" w:type="dxa"/>
          </w:tcPr>
          <w:p w14:paraId="04695412" w14:textId="1E122857" w:rsidR="004060AF" w:rsidRDefault="004060AF" w:rsidP="0007679B">
            <w:r>
              <w:rPr>
                <w:noProof/>
              </w:rPr>
              <w:drawing>
                <wp:inline distT="0" distB="0" distL="0" distR="0" wp14:anchorId="39A26214" wp14:editId="05CD6242">
                  <wp:extent cx="971550" cy="1360170"/>
                  <wp:effectExtent l="0" t="0" r="0" b="0"/>
                  <wp:docPr id="1" name="Picture 1" descr="C:\Users\mq20112190\AppData\Local\Microsoft\Windows\INetCache\Content.Word\H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20112190\AppData\Local\Microsoft\Windows\INetCache\Content.Word\Hu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360170"/>
                          </a:xfrm>
                          <a:prstGeom prst="rect">
                            <a:avLst/>
                          </a:prstGeom>
                          <a:noFill/>
                          <a:ln>
                            <a:noFill/>
                          </a:ln>
                        </pic:spPr>
                      </pic:pic>
                    </a:graphicData>
                  </a:graphic>
                </wp:inline>
              </w:drawing>
            </w:r>
          </w:p>
        </w:tc>
        <w:tc>
          <w:tcPr>
            <w:tcW w:w="3526" w:type="dxa"/>
          </w:tcPr>
          <w:p w14:paraId="0D3FAB14" w14:textId="6FF0D005" w:rsidR="004060AF" w:rsidRDefault="004060AF" w:rsidP="0007679B">
            <w:r>
              <w:t xml:space="preserve">Dr Hume Winzar, </w:t>
            </w:r>
          </w:p>
          <w:p w14:paraId="5E92CF58" w14:textId="77777777" w:rsidR="004060AF" w:rsidRDefault="004060AF" w:rsidP="0007679B">
            <w:r>
              <w:t>Associate Professor in Business,</w:t>
            </w:r>
          </w:p>
          <w:p w14:paraId="41293BD5" w14:textId="77777777" w:rsidR="004060AF" w:rsidRDefault="004060AF" w:rsidP="0007679B">
            <w:r>
              <w:t>Faculty of Business and Economics</w:t>
            </w:r>
          </w:p>
        </w:tc>
        <w:tc>
          <w:tcPr>
            <w:tcW w:w="3908" w:type="dxa"/>
          </w:tcPr>
          <w:p w14:paraId="65E9448D" w14:textId="77777777" w:rsidR="004060AF" w:rsidRDefault="004060AF" w:rsidP="00657505">
            <w:r>
              <w:t>Associate Professor Hume Winzar is Director of the Bachelor of Business Analytics at Macquarie University. His expertise is in Data analysis and social research design. Dr Winzar is co-author of best-selling textbooks in Marketing Research, Consumer Psychology, and Statistics.</w:t>
            </w:r>
          </w:p>
        </w:tc>
        <w:tc>
          <w:tcPr>
            <w:tcW w:w="3445" w:type="dxa"/>
          </w:tcPr>
          <w:p w14:paraId="40F7BDD3" w14:textId="77777777" w:rsidR="004060AF" w:rsidRPr="00657505" w:rsidRDefault="004060AF" w:rsidP="0007679B">
            <w:pPr>
              <w:rPr>
                <w:b/>
              </w:rPr>
            </w:pPr>
            <w:r w:rsidRPr="00657505">
              <w:rPr>
                <w:b/>
              </w:rPr>
              <w:t>Marketing Trends in Sales and Forecasting in bank and financial services</w:t>
            </w:r>
          </w:p>
          <w:p w14:paraId="7B3A1101" w14:textId="77777777" w:rsidR="004060AF" w:rsidRDefault="004060AF" w:rsidP="0007679B"/>
        </w:tc>
      </w:tr>
      <w:tr w:rsidR="004060AF" w14:paraId="55C52645" w14:textId="77777777" w:rsidTr="004060AF">
        <w:tc>
          <w:tcPr>
            <w:tcW w:w="3069" w:type="dxa"/>
            <w:shd w:val="clear" w:color="auto" w:fill="ED7D31" w:themeFill="accent2"/>
          </w:tcPr>
          <w:p w14:paraId="7DDA63E8" w14:textId="77777777" w:rsidR="004060AF" w:rsidRPr="00657505" w:rsidRDefault="004060AF">
            <w:pPr>
              <w:rPr>
                <w:b/>
              </w:rPr>
            </w:pPr>
          </w:p>
        </w:tc>
        <w:tc>
          <w:tcPr>
            <w:tcW w:w="10879" w:type="dxa"/>
            <w:gridSpan w:val="3"/>
            <w:shd w:val="clear" w:color="auto" w:fill="ED7D31" w:themeFill="accent2"/>
          </w:tcPr>
          <w:p w14:paraId="2FB1DF02" w14:textId="033E088B" w:rsidR="004060AF" w:rsidRPr="00657505" w:rsidRDefault="004060AF">
            <w:pPr>
              <w:rPr>
                <w:b/>
              </w:rPr>
            </w:pPr>
            <w:r w:rsidRPr="00657505">
              <w:rPr>
                <w:b/>
              </w:rPr>
              <w:t xml:space="preserve">Faculty of Arts </w:t>
            </w:r>
          </w:p>
        </w:tc>
      </w:tr>
      <w:tr w:rsidR="004060AF" w14:paraId="0C8DC184" w14:textId="77777777" w:rsidTr="004060AF">
        <w:tc>
          <w:tcPr>
            <w:tcW w:w="3069" w:type="dxa"/>
          </w:tcPr>
          <w:p w14:paraId="29A07229" w14:textId="01ED3BB3" w:rsidR="004060AF" w:rsidRDefault="004060AF" w:rsidP="0007679B">
            <w:r w:rsidRPr="004060AF">
              <w:rPr>
                <w:noProof/>
              </w:rPr>
              <w:drawing>
                <wp:anchor distT="0" distB="0" distL="114300" distR="114300" simplePos="0" relativeHeight="251658240" behindDoc="1" locked="0" layoutInCell="1" allowOverlap="1" wp14:anchorId="11E8B153" wp14:editId="6C23E3F9">
                  <wp:simplePos x="0" y="0"/>
                  <wp:positionH relativeFrom="column">
                    <wp:posOffset>-5080</wp:posOffset>
                  </wp:positionH>
                  <wp:positionV relativeFrom="paragraph">
                    <wp:posOffset>140335</wp:posOffset>
                  </wp:positionV>
                  <wp:extent cx="1400175" cy="1400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6" w:type="dxa"/>
          </w:tcPr>
          <w:p w14:paraId="0759F70B" w14:textId="599AFB1D" w:rsidR="004060AF" w:rsidRDefault="004060AF" w:rsidP="0007679B">
            <w:r>
              <w:t xml:space="preserve">Professor Julian Knowles, </w:t>
            </w:r>
          </w:p>
          <w:p w14:paraId="21670989" w14:textId="77777777" w:rsidR="004060AF" w:rsidRDefault="004060AF" w:rsidP="0007679B">
            <w:r>
              <w:t>Associate Dean International, Faculty of Arts</w:t>
            </w:r>
          </w:p>
        </w:tc>
        <w:tc>
          <w:tcPr>
            <w:tcW w:w="3908" w:type="dxa"/>
          </w:tcPr>
          <w:p w14:paraId="08E58A84" w14:textId="444FCF05" w:rsidR="004060AF" w:rsidRDefault="004060AF" w:rsidP="0095343D">
            <w:r>
              <w:t>Julian Knowles is a Professor of Music and Associate Dean International in the Faculty of Arts at Macquarie University. He has extensive experience as a senior academic manager in a range of contexts. His research investigates the implications of new technologies across music, media and online contexts and his critically acclaimed creative work is published via a</w:t>
            </w:r>
          </w:p>
          <w:p w14:paraId="68FF90D7" w14:textId="77777777" w:rsidR="004060AF" w:rsidRDefault="004060AF" w:rsidP="0095343D">
            <w:r>
              <w:t>range of outlets internationally.</w:t>
            </w:r>
          </w:p>
        </w:tc>
        <w:tc>
          <w:tcPr>
            <w:tcW w:w="3445" w:type="dxa"/>
            <w:vMerge w:val="restart"/>
          </w:tcPr>
          <w:p w14:paraId="2F646C5C" w14:textId="77777777" w:rsidR="004060AF" w:rsidRPr="00657505" w:rsidRDefault="004060AF">
            <w:pPr>
              <w:rPr>
                <w:b/>
              </w:rPr>
            </w:pPr>
            <w:r w:rsidRPr="00657505">
              <w:rPr>
                <w:b/>
              </w:rPr>
              <w:t xml:space="preserve">K-pop Culture in Australia </w:t>
            </w:r>
          </w:p>
          <w:p w14:paraId="3A9DE09C" w14:textId="77777777" w:rsidR="004060AF" w:rsidRDefault="004060AF"/>
          <w:p w14:paraId="55BE9CAF" w14:textId="77777777" w:rsidR="004060AF" w:rsidRDefault="004060AF" w:rsidP="0098575E">
            <w:r w:rsidRPr="0007679B">
              <w:t>Over the past decade, Korean popular culture has become widely known throughout Asia, and in Australia as well. But what does this new interest in K-pop mean for young Australians? How does it affect their engagement with, and perception of, Asia? Dr Keith will discuss the effect of K-pop on Australia’s cultural landscape.</w:t>
            </w:r>
          </w:p>
        </w:tc>
      </w:tr>
      <w:tr w:rsidR="004060AF" w14:paraId="04635399" w14:textId="77777777" w:rsidTr="004060AF">
        <w:tc>
          <w:tcPr>
            <w:tcW w:w="3069" w:type="dxa"/>
          </w:tcPr>
          <w:p w14:paraId="4C2DE0BA" w14:textId="23CAA0BF" w:rsidR="004060AF" w:rsidRDefault="004060AF" w:rsidP="0007679B">
            <w:r>
              <w:rPr>
                <w:noProof/>
              </w:rPr>
              <w:drawing>
                <wp:inline distT="0" distB="0" distL="0" distR="0" wp14:anchorId="2F8579AF" wp14:editId="2E99EE31">
                  <wp:extent cx="981075" cy="1465013"/>
                  <wp:effectExtent l="0" t="0" r="0" b="1905"/>
                  <wp:docPr id="2" name="Picture 2" descr="C:\Users\mq20112190\AppData\Local\Microsoft\Windows\INetCache\Content.Word\mmccs-sarah_ke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q20112190\AppData\Local\Microsoft\Windows\INetCache\Content.Word\mmccs-sarah_kei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370" cy="1471426"/>
                          </a:xfrm>
                          <a:prstGeom prst="rect">
                            <a:avLst/>
                          </a:prstGeom>
                          <a:noFill/>
                          <a:ln>
                            <a:noFill/>
                          </a:ln>
                        </pic:spPr>
                      </pic:pic>
                    </a:graphicData>
                  </a:graphic>
                </wp:inline>
              </w:drawing>
            </w:r>
          </w:p>
        </w:tc>
        <w:tc>
          <w:tcPr>
            <w:tcW w:w="3526" w:type="dxa"/>
          </w:tcPr>
          <w:p w14:paraId="3545938F" w14:textId="17484FE6" w:rsidR="004060AF" w:rsidRDefault="004060AF" w:rsidP="0007679B">
            <w:r>
              <w:t xml:space="preserve">Dr Sarah Keith, </w:t>
            </w:r>
          </w:p>
          <w:p w14:paraId="493AAE0A" w14:textId="77777777" w:rsidR="004060AF" w:rsidRDefault="004060AF" w:rsidP="0007679B">
            <w:r>
              <w:t>Lecturer of Media and Music, Faculty of Arts</w:t>
            </w:r>
          </w:p>
        </w:tc>
        <w:tc>
          <w:tcPr>
            <w:tcW w:w="3908" w:type="dxa"/>
          </w:tcPr>
          <w:p w14:paraId="6B338E58" w14:textId="77777777" w:rsidR="004060AF" w:rsidRDefault="004060AF" w:rsidP="0095343D">
            <w:r>
              <w:t>Sarah Keith teaches in music production and digital media. Her research interests include popular music studies, East Asian popular music, the Australia music industries, music and cultural policy. In 2016, she co-authored the book The New Music Industries: Disruption and Discovery, which examined a musician’s careers in the digital age.</w:t>
            </w:r>
          </w:p>
        </w:tc>
        <w:tc>
          <w:tcPr>
            <w:tcW w:w="3445" w:type="dxa"/>
            <w:vMerge/>
          </w:tcPr>
          <w:p w14:paraId="33E8C892" w14:textId="77777777" w:rsidR="004060AF" w:rsidRDefault="004060AF"/>
        </w:tc>
      </w:tr>
      <w:tr w:rsidR="004060AF" w14:paraId="729FEAD6" w14:textId="77777777" w:rsidTr="004060AF">
        <w:tc>
          <w:tcPr>
            <w:tcW w:w="3069" w:type="dxa"/>
            <w:shd w:val="clear" w:color="auto" w:fill="ED7D31" w:themeFill="accent2"/>
          </w:tcPr>
          <w:p w14:paraId="39BA1483" w14:textId="77777777" w:rsidR="004060AF" w:rsidRPr="00657505" w:rsidRDefault="004060AF">
            <w:pPr>
              <w:rPr>
                <w:b/>
              </w:rPr>
            </w:pPr>
          </w:p>
        </w:tc>
        <w:tc>
          <w:tcPr>
            <w:tcW w:w="10879" w:type="dxa"/>
            <w:gridSpan w:val="3"/>
            <w:shd w:val="clear" w:color="auto" w:fill="ED7D31" w:themeFill="accent2"/>
          </w:tcPr>
          <w:p w14:paraId="718ABDCA" w14:textId="7FDC190D" w:rsidR="004060AF" w:rsidRPr="00657505" w:rsidRDefault="004060AF">
            <w:pPr>
              <w:rPr>
                <w:b/>
              </w:rPr>
            </w:pPr>
            <w:r w:rsidRPr="00657505">
              <w:rPr>
                <w:b/>
              </w:rPr>
              <w:t xml:space="preserve">Faculty of Human Science </w:t>
            </w:r>
          </w:p>
        </w:tc>
      </w:tr>
      <w:tr w:rsidR="004060AF" w14:paraId="0DBB1DFE" w14:textId="77777777" w:rsidTr="004060AF">
        <w:tc>
          <w:tcPr>
            <w:tcW w:w="3069" w:type="dxa"/>
          </w:tcPr>
          <w:p w14:paraId="235EC862" w14:textId="2209D9CB" w:rsidR="004060AF" w:rsidRDefault="004060AF" w:rsidP="0095343D">
            <w:r>
              <w:rPr>
                <w:noProof/>
              </w:rPr>
              <w:lastRenderedPageBreak/>
              <w:drawing>
                <wp:inline distT="0" distB="0" distL="0" distR="0" wp14:anchorId="570B43CD" wp14:editId="0D0CE449">
                  <wp:extent cx="1401289" cy="1838325"/>
                  <wp:effectExtent l="0" t="0" r="8890" b="0"/>
                  <wp:docPr id="7" name="Picture 7" descr="Ian_Ste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n_Step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423" cy="1850308"/>
                          </a:xfrm>
                          <a:prstGeom prst="rect">
                            <a:avLst/>
                          </a:prstGeom>
                          <a:noFill/>
                          <a:ln>
                            <a:noFill/>
                          </a:ln>
                        </pic:spPr>
                      </pic:pic>
                    </a:graphicData>
                  </a:graphic>
                </wp:inline>
              </w:drawing>
            </w:r>
          </w:p>
        </w:tc>
        <w:tc>
          <w:tcPr>
            <w:tcW w:w="3526" w:type="dxa"/>
          </w:tcPr>
          <w:p w14:paraId="7C0108B4" w14:textId="09B29730" w:rsidR="004060AF" w:rsidRDefault="004060AF" w:rsidP="0095343D">
            <w:r>
              <w:t xml:space="preserve">Dr Ian Stephen, </w:t>
            </w:r>
          </w:p>
          <w:p w14:paraId="4EB7D00F" w14:textId="77777777" w:rsidR="004060AF" w:rsidRDefault="004060AF" w:rsidP="0095343D">
            <w:r>
              <w:t>Senior Lecturer of Psychology and Deputy Associate Dean (International), Faculty of Human Sciences</w:t>
            </w:r>
            <w:bookmarkStart w:id="0" w:name="_GoBack"/>
            <w:bookmarkEnd w:id="0"/>
          </w:p>
        </w:tc>
        <w:tc>
          <w:tcPr>
            <w:tcW w:w="3908" w:type="dxa"/>
          </w:tcPr>
          <w:p w14:paraId="7CB5B439" w14:textId="77777777" w:rsidR="004060AF" w:rsidRDefault="004060AF" w:rsidP="0095343D">
            <w:r>
              <w:t>Dr Ian Stephen has worked in universities in the UK, Malaysia and Australia. His research covers the perception of faces and bodies, attraction, and body dissatisfaction in different cultures. At Macquarie, he teaches research methods, perceptual psychology and evolutionary psychology.</w:t>
            </w:r>
          </w:p>
        </w:tc>
        <w:tc>
          <w:tcPr>
            <w:tcW w:w="3445" w:type="dxa"/>
          </w:tcPr>
          <w:p w14:paraId="61CFFAAC" w14:textId="77777777" w:rsidR="004060AF" w:rsidRPr="00657505" w:rsidRDefault="004060AF" w:rsidP="00657505">
            <w:pPr>
              <w:rPr>
                <w:b/>
              </w:rPr>
            </w:pPr>
            <w:r w:rsidRPr="00657505">
              <w:rPr>
                <w:b/>
              </w:rPr>
              <w:t>The Psychology of Beauty</w:t>
            </w:r>
          </w:p>
          <w:p w14:paraId="02D07E04" w14:textId="77777777" w:rsidR="004060AF" w:rsidRDefault="004060AF" w:rsidP="00657505"/>
          <w:p w14:paraId="137F17A7" w14:textId="77777777" w:rsidR="004060AF" w:rsidRDefault="004060AF" w:rsidP="00657505">
            <w:r>
              <w:t>Is beauty in the eye of the beholder or does it reveal something more about the beautiful person? What is it about a face that makes it beautiful? I will take an evolutionary perspective to examine what makes us beautiful and why our brains are designed to see some people as beautiful and others less so.</w:t>
            </w:r>
          </w:p>
        </w:tc>
      </w:tr>
      <w:tr w:rsidR="004060AF" w14:paraId="13D6BF53" w14:textId="77777777" w:rsidTr="004060AF">
        <w:tc>
          <w:tcPr>
            <w:tcW w:w="3069" w:type="dxa"/>
            <w:shd w:val="clear" w:color="auto" w:fill="ED7D31" w:themeFill="accent2"/>
          </w:tcPr>
          <w:p w14:paraId="6F253381" w14:textId="77777777" w:rsidR="004060AF" w:rsidRPr="00657505" w:rsidRDefault="004060AF">
            <w:pPr>
              <w:rPr>
                <w:b/>
              </w:rPr>
            </w:pPr>
          </w:p>
        </w:tc>
        <w:tc>
          <w:tcPr>
            <w:tcW w:w="10879" w:type="dxa"/>
            <w:gridSpan w:val="3"/>
            <w:shd w:val="clear" w:color="auto" w:fill="ED7D31" w:themeFill="accent2"/>
          </w:tcPr>
          <w:p w14:paraId="5E7A45DB" w14:textId="27833216" w:rsidR="004060AF" w:rsidRPr="00657505" w:rsidRDefault="004060AF">
            <w:pPr>
              <w:rPr>
                <w:b/>
              </w:rPr>
            </w:pPr>
            <w:r w:rsidRPr="00657505">
              <w:rPr>
                <w:b/>
              </w:rPr>
              <w:t>Faculty of Science and Engineering</w:t>
            </w:r>
          </w:p>
        </w:tc>
      </w:tr>
      <w:tr w:rsidR="004060AF" w14:paraId="6F35E8E4" w14:textId="77777777" w:rsidTr="004060AF">
        <w:tc>
          <w:tcPr>
            <w:tcW w:w="3069" w:type="dxa"/>
          </w:tcPr>
          <w:p w14:paraId="748B389C" w14:textId="741FEAD1" w:rsidR="004060AF" w:rsidRDefault="004060AF" w:rsidP="0095343D">
            <w:r>
              <w:rPr>
                <w:b/>
                <w:noProof/>
              </w:rPr>
              <w:drawing>
                <wp:inline distT="0" distB="0" distL="0" distR="0" wp14:anchorId="07804419" wp14:editId="5EC12369">
                  <wp:extent cx="1592580" cy="1592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87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80" cy="1592580"/>
                          </a:xfrm>
                          <a:prstGeom prst="rect">
                            <a:avLst/>
                          </a:prstGeom>
                        </pic:spPr>
                      </pic:pic>
                    </a:graphicData>
                  </a:graphic>
                </wp:inline>
              </w:drawing>
            </w:r>
          </w:p>
        </w:tc>
        <w:tc>
          <w:tcPr>
            <w:tcW w:w="3526" w:type="dxa"/>
          </w:tcPr>
          <w:p w14:paraId="307681AF" w14:textId="1226C61E" w:rsidR="004060AF" w:rsidRDefault="004060AF" w:rsidP="0095343D">
            <w:r>
              <w:t xml:space="preserve">Mr Feargal Caley, </w:t>
            </w:r>
          </w:p>
          <w:p w14:paraId="4D59E8B2" w14:textId="77777777" w:rsidR="004060AF" w:rsidRDefault="004060AF" w:rsidP="0095343D">
            <w:r>
              <w:t>International Development Manager, Faculty of Science and Engineering</w:t>
            </w:r>
          </w:p>
        </w:tc>
        <w:tc>
          <w:tcPr>
            <w:tcW w:w="3908" w:type="dxa"/>
          </w:tcPr>
          <w:p w14:paraId="0D40D181" w14:textId="77777777" w:rsidR="004060AF" w:rsidRDefault="004060AF" w:rsidP="0095343D">
            <w:r>
              <w:t>Feargal is a specialist in the sciences, engineering and IT and will be available to provide counselling to students who wish to undertake studies in these fields.</w:t>
            </w:r>
          </w:p>
        </w:tc>
        <w:tc>
          <w:tcPr>
            <w:tcW w:w="3445" w:type="dxa"/>
            <w:vMerge w:val="restart"/>
          </w:tcPr>
          <w:p w14:paraId="0AB1F75E" w14:textId="77777777" w:rsidR="004060AF" w:rsidRPr="00657505" w:rsidRDefault="004060AF">
            <w:pPr>
              <w:rPr>
                <w:b/>
              </w:rPr>
            </w:pPr>
            <w:r w:rsidRPr="00657505">
              <w:rPr>
                <w:b/>
              </w:rPr>
              <w:t>Flexible and Fine-Grained Access Control for the Internet of Things</w:t>
            </w:r>
          </w:p>
          <w:p w14:paraId="686B78C9" w14:textId="77777777" w:rsidR="004060AF" w:rsidRDefault="004060AF"/>
          <w:p w14:paraId="7E05943A" w14:textId="77777777" w:rsidR="004060AF" w:rsidRPr="00657505" w:rsidRDefault="004060AF" w:rsidP="00657505">
            <w:pPr>
              <w:rPr>
                <w:rFonts w:ascii="Calibri" w:eastAsia="Calibri" w:hAnsi="Calibri" w:cs="Times New Roman"/>
              </w:rPr>
            </w:pPr>
            <w:r w:rsidRPr="00657505">
              <w:rPr>
                <w:rFonts w:ascii="Calibri" w:eastAsia="Calibri" w:hAnsi="Calibri" w:cs="Times New Roman"/>
              </w:rPr>
              <w:t xml:space="preserve">The Internet of Things (IoT) promises new ways of interaction where everything and anything can be part of the network. The IoT is changing the nature of ambient connected living and has the potential to rapidly impact our everyday living in a variety of ways e.g. smart healthcare, smart retail and smart communications. Such a convergence of the digital and physical world, while improving the user experience, leads to numerous security challenges and privacy issues.  It has been estimated that there were 25 billion connected devices in the year 2015 and that </w:t>
            </w:r>
            <w:r w:rsidRPr="00657505">
              <w:rPr>
                <w:rFonts w:ascii="Calibri" w:eastAsia="Calibri" w:hAnsi="Calibri" w:cs="Times New Roman"/>
              </w:rPr>
              <w:lastRenderedPageBreak/>
              <w:t>this will double by the year 2020.  Controlling access to these devices and the valuable information they control, generate and process is an important issue.</w:t>
            </w:r>
          </w:p>
          <w:p w14:paraId="371473C6" w14:textId="77777777" w:rsidR="004060AF" w:rsidRPr="00657505" w:rsidRDefault="004060AF" w:rsidP="00657505">
            <w:pPr>
              <w:rPr>
                <w:rFonts w:ascii="Calibri" w:eastAsia="Calibri" w:hAnsi="Calibri" w:cs="Times New Roman"/>
              </w:rPr>
            </w:pPr>
            <w:r w:rsidRPr="00657505">
              <w:rPr>
                <w:rFonts w:ascii="Calibri" w:eastAsia="Calibri" w:hAnsi="Calibri" w:cs="Times New Roman"/>
              </w:rPr>
              <w:t xml:space="preserve">Traditional access control methods will struggle to deal with the scale, heterogeneity and flexibility presented by the IoT.  Existing access control systems typically require detailed prior knowledge of their users.  They are also heavily centralised, which runs counter to the edge-intelligence displayed by the IoT.  This has been recognised by prior work on access control for the IoT, which has advocated capability-based solutions.  However, the management of these capabilities remains an open question.  This talk will present an access control solution for the IoT, based on a combination of Attribute-Based Access Control (ABAC), Role-Based Access Control (RBAC) and Capabilities that offers a flexible and fine-grained approach while minimising the number of policies that </w:t>
            </w:r>
            <w:proofErr w:type="gramStart"/>
            <w:r w:rsidRPr="00657505">
              <w:rPr>
                <w:rFonts w:ascii="Calibri" w:eastAsia="Calibri" w:hAnsi="Calibri" w:cs="Times New Roman"/>
              </w:rPr>
              <w:t>have to</w:t>
            </w:r>
            <w:proofErr w:type="gramEnd"/>
            <w:r w:rsidRPr="00657505">
              <w:rPr>
                <w:rFonts w:ascii="Calibri" w:eastAsia="Calibri" w:hAnsi="Calibri" w:cs="Times New Roman"/>
              </w:rPr>
              <w:t xml:space="preserve"> be written and managed.</w:t>
            </w:r>
          </w:p>
          <w:p w14:paraId="26AA52C4" w14:textId="77777777" w:rsidR="004060AF" w:rsidRDefault="004060AF" w:rsidP="00576D38"/>
        </w:tc>
      </w:tr>
      <w:tr w:rsidR="004060AF" w14:paraId="3D11224B" w14:textId="77777777" w:rsidTr="004060AF">
        <w:tc>
          <w:tcPr>
            <w:tcW w:w="3069" w:type="dxa"/>
          </w:tcPr>
          <w:p w14:paraId="1353B9E4" w14:textId="79323B52" w:rsidR="004060AF" w:rsidRDefault="004060AF">
            <w:r>
              <w:rPr>
                <w:noProof/>
              </w:rPr>
              <w:drawing>
                <wp:inline distT="0" distB="0" distL="0" distR="0" wp14:anchorId="171AB639" wp14:editId="01713C50">
                  <wp:extent cx="1285875" cy="1714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el Hitchens (003).jpg"/>
                          <pic:cNvPicPr/>
                        </pic:nvPicPr>
                        <pic:blipFill>
                          <a:blip r:embed="rId9">
                            <a:extLst>
                              <a:ext uri="{28A0092B-C50C-407E-A947-70E740481C1C}">
                                <a14:useLocalDpi xmlns:a14="http://schemas.microsoft.com/office/drawing/2010/main" val="0"/>
                              </a:ext>
                            </a:extLst>
                          </a:blip>
                          <a:stretch>
                            <a:fillRect/>
                          </a:stretch>
                        </pic:blipFill>
                        <pic:spPr>
                          <a:xfrm>
                            <a:off x="0" y="0"/>
                            <a:ext cx="1287232" cy="1716311"/>
                          </a:xfrm>
                          <a:prstGeom prst="rect">
                            <a:avLst/>
                          </a:prstGeom>
                        </pic:spPr>
                      </pic:pic>
                    </a:graphicData>
                  </a:graphic>
                </wp:inline>
              </w:drawing>
            </w:r>
          </w:p>
        </w:tc>
        <w:tc>
          <w:tcPr>
            <w:tcW w:w="3526" w:type="dxa"/>
          </w:tcPr>
          <w:p w14:paraId="02345BCF" w14:textId="6840A701" w:rsidR="004060AF" w:rsidRDefault="004060AF">
            <w:r>
              <w:t xml:space="preserve">Associate Professor </w:t>
            </w:r>
            <w:r w:rsidRPr="0095343D">
              <w:t>Michael Hitchens</w:t>
            </w:r>
            <w:r>
              <w:t>,</w:t>
            </w:r>
          </w:p>
          <w:p w14:paraId="2DB2B3BF" w14:textId="77777777" w:rsidR="004060AF" w:rsidRDefault="004060AF">
            <w:r w:rsidRPr="0095343D">
              <w:t>Associate Dean, Quality &amp; Standards</w:t>
            </w:r>
          </w:p>
        </w:tc>
        <w:tc>
          <w:tcPr>
            <w:tcW w:w="3908" w:type="dxa"/>
          </w:tcPr>
          <w:p w14:paraId="3BA66BEC" w14:textId="77777777" w:rsidR="004060AF" w:rsidRDefault="004060AF" w:rsidP="0095343D">
            <w:r>
              <w:t>Michael Hitchens is the Associate Dean for Quality and Standards, Faculty of Science and Engineering. His main research areas are video games and computer security. In video games he is particularly interested in player experience, story and narrative and the relationship between player and player character. In computer security he focuses on access control and</w:t>
            </w:r>
          </w:p>
          <w:p w14:paraId="7A871CCA" w14:textId="77777777" w:rsidR="004060AF" w:rsidRDefault="004060AF" w:rsidP="0095343D">
            <w:r>
              <w:lastRenderedPageBreak/>
              <w:t>the use of trust. His current projects examine access control and identity in the internet of things and access control and trust for software defined networks.</w:t>
            </w:r>
          </w:p>
        </w:tc>
        <w:tc>
          <w:tcPr>
            <w:tcW w:w="3445" w:type="dxa"/>
            <w:vMerge/>
          </w:tcPr>
          <w:p w14:paraId="2C686C57" w14:textId="77777777" w:rsidR="004060AF" w:rsidRDefault="004060AF"/>
        </w:tc>
      </w:tr>
    </w:tbl>
    <w:p w14:paraId="555D652C" w14:textId="77777777" w:rsidR="0061366A" w:rsidRDefault="0061366A"/>
    <w:sectPr w:rsidR="0061366A" w:rsidSect="000767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9B"/>
    <w:rsid w:val="0007679B"/>
    <w:rsid w:val="004060AF"/>
    <w:rsid w:val="0061366A"/>
    <w:rsid w:val="00657505"/>
    <w:rsid w:val="00953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EA47"/>
  <w15:chartTrackingRefBased/>
  <w15:docId w15:val="{8117EBF0-C479-4ACB-A9C1-E1ADBBAF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Tran</dc:creator>
  <cp:keywords/>
  <dc:description/>
  <cp:lastModifiedBy>Simon Tran</cp:lastModifiedBy>
  <cp:revision>2</cp:revision>
  <dcterms:created xsi:type="dcterms:W3CDTF">2017-10-22T22:11:00Z</dcterms:created>
  <dcterms:modified xsi:type="dcterms:W3CDTF">2017-10-22T23:53:00Z</dcterms:modified>
</cp:coreProperties>
</file>